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E1" w:rsidRPr="00657BE1" w:rsidRDefault="00D42367" w:rsidP="00D42367">
      <w:pPr>
        <w:spacing w:after="0"/>
        <w:rPr>
          <w:rFonts w:ascii="Arial" w:hAnsi="Arial" w:cs="Arial"/>
          <w:b/>
          <w:sz w:val="24"/>
          <w:szCs w:val="24"/>
        </w:rPr>
      </w:pPr>
      <w:r>
        <w:rPr>
          <w:rFonts w:ascii="Arial" w:hAnsi="Arial" w:cs="Arial"/>
          <w:b/>
          <w:sz w:val="24"/>
          <w:szCs w:val="24"/>
        </w:rPr>
        <w:t>Revised Appendices</w:t>
      </w:r>
      <w:r w:rsidR="00657BE1" w:rsidRPr="00657BE1">
        <w:rPr>
          <w:rFonts w:ascii="Arial" w:hAnsi="Arial" w:cs="Arial"/>
          <w:b/>
          <w:sz w:val="24"/>
          <w:szCs w:val="24"/>
        </w:rPr>
        <w:t xml:space="preserve"> 2 and 3 - </w:t>
      </w:r>
      <w:r w:rsidR="00682734" w:rsidRPr="00657BE1">
        <w:rPr>
          <w:rFonts w:ascii="Arial" w:hAnsi="Arial" w:cs="Arial"/>
          <w:b/>
          <w:sz w:val="24"/>
          <w:szCs w:val="24"/>
        </w:rPr>
        <w:t>Options for remaining committee places</w:t>
      </w:r>
    </w:p>
    <w:p w:rsidR="00D42367" w:rsidRDefault="00D42367" w:rsidP="00D42367">
      <w:pPr>
        <w:spacing w:after="0"/>
        <w:rPr>
          <w:rFonts w:ascii="Arial" w:hAnsi="Arial" w:cs="Arial"/>
          <w:b/>
          <w:sz w:val="24"/>
          <w:szCs w:val="24"/>
          <w:u w:val="single"/>
        </w:rPr>
      </w:pPr>
    </w:p>
    <w:p w:rsidR="00671EB6" w:rsidRPr="00657BE1" w:rsidRDefault="00657BE1">
      <w:pPr>
        <w:rPr>
          <w:rFonts w:ascii="Arial" w:hAnsi="Arial" w:cs="Arial"/>
          <w:b/>
          <w:sz w:val="24"/>
          <w:szCs w:val="24"/>
          <w:u w:val="single"/>
        </w:rPr>
      </w:pPr>
      <w:r w:rsidRPr="00657BE1">
        <w:rPr>
          <w:rFonts w:ascii="Arial" w:hAnsi="Arial" w:cs="Arial"/>
          <w:b/>
          <w:sz w:val="24"/>
          <w:szCs w:val="24"/>
          <w:u w:val="single"/>
        </w:rPr>
        <w:t>Background</w:t>
      </w:r>
    </w:p>
    <w:p w:rsidR="00671EB6" w:rsidRPr="00657BE1" w:rsidRDefault="00671EB6">
      <w:pPr>
        <w:rPr>
          <w:rFonts w:ascii="Arial" w:hAnsi="Arial" w:cs="Arial"/>
          <w:sz w:val="24"/>
          <w:szCs w:val="24"/>
        </w:rPr>
      </w:pPr>
      <w:r w:rsidRPr="00657BE1">
        <w:rPr>
          <w:rFonts w:ascii="Arial" w:hAnsi="Arial" w:cs="Arial"/>
          <w:sz w:val="24"/>
          <w:szCs w:val="24"/>
        </w:rPr>
        <w:t>The original Appendices 2 and 3 were</w:t>
      </w:r>
      <w:r w:rsidR="00BE3964" w:rsidRPr="00657BE1">
        <w:rPr>
          <w:rFonts w:ascii="Arial" w:hAnsi="Arial" w:cs="Arial"/>
          <w:sz w:val="24"/>
          <w:szCs w:val="24"/>
        </w:rPr>
        <w:t xml:space="preserve"> based on one</w:t>
      </w:r>
      <w:r w:rsidRPr="00657BE1">
        <w:rPr>
          <w:rFonts w:ascii="Arial" w:hAnsi="Arial" w:cs="Arial"/>
          <w:sz w:val="24"/>
          <w:szCs w:val="24"/>
        </w:rPr>
        <w:t xml:space="preserve"> non-group</w:t>
      </w:r>
      <w:r w:rsidR="00BE3964" w:rsidRPr="00657BE1">
        <w:rPr>
          <w:rFonts w:ascii="Arial" w:hAnsi="Arial" w:cs="Arial"/>
          <w:sz w:val="24"/>
          <w:szCs w:val="24"/>
        </w:rPr>
        <w:t>ed</w:t>
      </w:r>
      <w:r w:rsidRPr="00657BE1">
        <w:rPr>
          <w:rFonts w:ascii="Arial" w:hAnsi="Arial" w:cs="Arial"/>
          <w:sz w:val="24"/>
          <w:szCs w:val="24"/>
        </w:rPr>
        <w:t xml:space="preserve"> councillor wishing to take up any seats </w:t>
      </w:r>
      <w:r w:rsidR="00316739">
        <w:rPr>
          <w:rFonts w:ascii="Arial" w:hAnsi="Arial" w:cs="Arial"/>
          <w:sz w:val="24"/>
          <w:szCs w:val="24"/>
        </w:rPr>
        <w:t xml:space="preserve">on committees </w:t>
      </w:r>
      <w:r w:rsidRPr="00657BE1">
        <w:rPr>
          <w:rFonts w:ascii="Arial" w:hAnsi="Arial" w:cs="Arial"/>
          <w:sz w:val="24"/>
          <w:szCs w:val="24"/>
        </w:rPr>
        <w:t>that remained unallocated once all groups had received their full proportional entitlement</w:t>
      </w:r>
      <w:r w:rsidR="00D42367">
        <w:rPr>
          <w:rFonts w:ascii="Arial" w:hAnsi="Arial" w:cs="Arial"/>
          <w:sz w:val="24"/>
          <w:szCs w:val="24"/>
        </w:rPr>
        <w:t xml:space="preserve"> of seats</w:t>
      </w:r>
      <w:r w:rsidRPr="00657BE1">
        <w:rPr>
          <w:rFonts w:ascii="Arial" w:hAnsi="Arial" w:cs="Arial"/>
          <w:sz w:val="24"/>
          <w:szCs w:val="24"/>
        </w:rPr>
        <w:t>.</w:t>
      </w:r>
    </w:p>
    <w:p w:rsidR="00682734" w:rsidRPr="00657BE1" w:rsidRDefault="00BE3964" w:rsidP="00BE3964">
      <w:pPr>
        <w:rPr>
          <w:rFonts w:ascii="Arial" w:hAnsi="Arial" w:cs="Arial"/>
          <w:sz w:val="24"/>
          <w:szCs w:val="24"/>
        </w:rPr>
      </w:pPr>
      <w:r w:rsidRPr="00657BE1">
        <w:rPr>
          <w:rFonts w:ascii="Arial" w:hAnsi="Arial" w:cs="Arial"/>
          <w:sz w:val="24"/>
          <w:szCs w:val="24"/>
        </w:rPr>
        <w:t>This was reflected</w:t>
      </w:r>
      <w:r w:rsidR="00682734" w:rsidRPr="00657BE1">
        <w:rPr>
          <w:rFonts w:ascii="Arial" w:hAnsi="Arial" w:cs="Arial"/>
          <w:sz w:val="24"/>
          <w:szCs w:val="24"/>
        </w:rPr>
        <w:t xml:space="preserve"> in the political balance calculation</w:t>
      </w:r>
      <w:r w:rsidRPr="00657BE1">
        <w:rPr>
          <w:rFonts w:ascii="Arial" w:hAnsi="Arial" w:cs="Arial"/>
          <w:sz w:val="24"/>
          <w:szCs w:val="24"/>
        </w:rPr>
        <w:t xml:space="preserve"> in </w:t>
      </w:r>
      <w:r w:rsidR="00384B2A">
        <w:rPr>
          <w:rFonts w:ascii="Arial" w:hAnsi="Arial" w:cs="Arial"/>
          <w:sz w:val="24"/>
          <w:szCs w:val="24"/>
        </w:rPr>
        <w:t xml:space="preserve">the original </w:t>
      </w:r>
      <w:r w:rsidRPr="00657BE1">
        <w:rPr>
          <w:rFonts w:ascii="Arial" w:hAnsi="Arial" w:cs="Arial"/>
          <w:sz w:val="24"/>
          <w:szCs w:val="24"/>
        </w:rPr>
        <w:t xml:space="preserve">Appendix 2 </w:t>
      </w:r>
      <w:r w:rsidR="00D42367">
        <w:rPr>
          <w:rFonts w:ascii="Arial" w:hAnsi="Arial" w:cs="Arial"/>
          <w:sz w:val="24"/>
          <w:szCs w:val="24"/>
        </w:rPr>
        <w:t>and the committee nominations in</w:t>
      </w:r>
      <w:r w:rsidR="00384B2A">
        <w:rPr>
          <w:rFonts w:ascii="Arial" w:hAnsi="Arial" w:cs="Arial"/>
          <w:sz w:val="24"/>
          <w:szCs w:val="24"/>
        </w:rPr>
        <w:t xml:space="preserve"> the original</w:t>
      </w:r>
      <w:r w:rsidR="00D42367">
        <w:rPr>
          <w:rFonts w:ascii="Arial" w:hAnsi="Arial" w:cs="Arial"/>
          <w:sz w:val="24"/>
          <w:szCs w:val="24"/>
        </w:rPr>
        <w:t xml:space="preserve"> Appendix 3, </w:t>
      </w:r>
      <w:r w:rsidRPr="00657BE1">
        <w:rPr>
          <w:rFonts w:ascii="Arial" w:hAnsi="Arial" w:cs="Arial"/>
          <w:sz w:val="24"/>
          <w:szCs w:val="24"/>
        </w:rPr>
        <w:t xml:space="preserve">which showed </w:t>
      </w:r>
      <w:r w:rsidR="00ED66EA" w:rsidRPr="00657BE1">
        <w:rPr>
          <w:rFonts w:ascii="Arial" w:hAnsi="Arial" w:cs="Arial"/>
          <w:sz w:val="24"/>
          <w:szCs w:val="24"/>
        </w:rPr>
        <w:t xml:space="preserve">one non-grouped councillor </w:t>
      </w:r>
      <w:r w:rsidRPr="00657BE1">
        <w:rPr>
          <w:rFonts w:ascii="Arial" w:hAnsi="Arial" w:cs="Arial"/>
          <w:sz w:val="24"/>
          <w:szCs w:val="24"/>
        </w:rPr>
        <w:t xml:space="preserve">being allocated </w:t>
      </w:r>
      <w:r w:rsidR="00ED66EA" w:rsidRPr="00657BE1">
        <w:rPr>
          <w:rFonts w:ascii="Arial" w:hAnsi="Arial" w:cs="Arial"/>
          <w:sz w:val="24"/>
          <w:szCs w:val="24"/>
        </w:rPr>
        <w:t>two</w:t>
      </w:r>
      <w:r w:rsidRPr="00657BE1">
        <w:rPr>
          <w:rFonts w:ascii="Arial" w:hAnsi="Arial" w:cs="Arial"/>
          <w:sz w:val="24"/>
          <w:szCs w:val="24"/>
        </w:rPr>
        <w:t xml:space="preserve"> seats</w:t>
      </w:r>
      <w:r w:rsidR="00316739">
        <w:rPr>
          <w:rFonts w:ascii="Arial" w:hAnsi="Arial" w:cs="Arial"/>
          <w:sz w:val="24"/>
          <w:szCs w:val="24"/>
        </w:rPr>
        <w:t xml:space="preserve"> (on Audit and Governance and Standards Committee)</w:t>
      </w:r>
      <w:r w:rsidRPr="00657BE1">
        <w:rPr>
          <w:rFonts w:ascii="Arial" w:hAnsi="Arial" w:cs="Arial"/>
          <w:sz w:val="24"/>
          <w:szCs w:val="24"/>
        </w:rPr>
        <w:t>.</w:t>
      </w:r>
    </w:p>
    <w:p w:rsidR="00682734" w:rsidRPr="00657BE1" w:rsidRDefault="00316739" w:rsidP="00682734">
      <w:pPr>
        <w:rPr>
          <w:rFonts w:ascii="Arial" w:hAnsi="Arial" w:cs="Arial"/>
          <w:sz w:val="24"/>
          <w:szCs w:val="24"/>
        </w:rPr>
      </w:pPr>
      <w:r>
        <w:rPr>
          <w:rFonts w:ascii="Arial" w:hAnsi="Arial" w:cs="Arial"/>
          <w:sz w:val="24"/>
          <w:szCs w:val="24"/>
        </w:rPr>
        <w:t>This</w:t>
      </w:r>
      <w:r w:rsidR="00682734" w:rsidRPr="00657BE1">
        <w:rPr>
          <w:rFonts w:ascii="Arial" w:hAnsi="Arial" w:cs="Arial"/>
          <w:sz w:val="24"/>
          <w:szCs w:val="24"/>
        </w:rPr>
        <w:t xml:space="preserve"> </w:t>
      </w:r>
      <w:r>
        <w:rPr>
          <w:rFonts w:ascii="Arial" w:hAnsi="Arial" w:cs="Arial"/>
          <w:sz w:val="24"/>
          <w:szCs w:val="24"/>
        </w:rPr>
        <w:t>councillor has subsequently</w:t>
      </w:r>
      <w:r w:rsidR="00BE3964" w:rsidRPr="00657BE1">
        <w:rPr>
          <w:rFonts w:ascii="Arial" w:hAnsi="Arial" w:cs="Arial"/>
          <w:sz w:val="24"/>
          <w:szCs w:val="24"/>
        </w:rPr>
        <w:t xml:space="preserve"> declined to</w:t>
      </w:r>
      <w:r w:rsidR="00682734" w:rsidRPr="00657BE1">
        <w:rPr>
          <w:rFonts w:ascii="Arial" w:hAnsi="Arial" w:cs="Arial"/>
          <w:sz w:val="24"/>
          <w:szCs w:val="24"/>
        </w:rPr>
        <w:t xml:space="preserve"> take up </w:t>
      </w:r>
      <w:r w:rsidR="00BE3964" w:rsidRPr="00657BE1">
        <w:rPr>
          <w:rFonts w:ascii="Arial" w:hAnsi="Arial" w:cs="Arial"/>
          <w:sz w:val="24"/>
          <w:szCs w:val="24"/>
        </w:rPr>
        <w:t>these seats</w:t>
      </w:r>
      <w:r w:rsidR="00682734" w:rsidRPr="00657BE1">
        <w:rPr>
          <w:rFonts w:ascii="Arial" w:hAnsi="Arial" w:cs="Arial"/>
          <w:sz w:val="24"/>
          <w:szCs w:val="24"/>
        </w:rPr>
        <w:t>.</w:t>
      </w:r>
    </w:p>
    <w:p w:rsidR="00BE3964" w:rsidRPr="00657BE1" w:rsidRDefault="00657BE1" w:rsidP="00682734">
      <w:pPr>
        <w:rPr>
          <w:rFonts w:ascii="Arial" w:hAnsi="Arial" w:cs="Arial"/>
          <w:b/>
          <w:sz w:val="24"/>
          <w:szCs w:val="24"/>
          <w:u w:val="single"/>
        </w:rPr>
      </w:pPr>
      <w:r w:rsidRPr="00657BE1">
        <w:rPr>
          <w:rFonts w:ascii="Arial" w:hAnsi="Arial" w:cs="Arial"/>
          <w:b/>
          <w:sz w:val="24"/>
          <w:szCs w:val="24"/>
          <w:u w:val="single"/>
        </w:rPr>
        <w:t>Calculations</w:t>
      </w:r>
    </w:p>
    <w:p w:rsidR="00682734" w:rsidRPr="00657BE1" w:rsidRDefault="00682734" w:rsidP="00976353">
      <w:pPr>
        <w:pStyle w:val="ListParagraph"/>
        <w:numPr>
          <w:ilvl w:val="0"/>
          <w:numId w:val="1"/>
        </w:numPr>
        <w:rPr>
          <w:rFonts w:ascii="Arial" w:hAnsi="Arial" w:cs="Arial"/>
          <w:sz w:val="24"/>
          <w:szCs w:val="24"/>
        </w:rPr>
      </w:pPr>
      <w:r w:rsidRPr="00657BE1">
        <w:rPr>
          <w:rFonts w:ascii="Arial" w:hAnsi="Arial" w:cs="Arial"/>
          <w:sz w:val="24"/>
          <w:szCs w:val="24"/>
        </w:rPr>
        <w:t xml:space="preserve">The political balance </w:t>
      </w:r>
      <w:r w:rsidR="00ED66EA" w:rsidRPr="00657BE1">
        <w:rPr>
          <w:rFonts w:ascii="Arial" w:hAnsi="Arial" w:cs="Arial"/>
          <w:sz w:val="24"/>
          <w:szCs w:val="24"/>
        </w:rPr>
        <w:t>has been recalculated</w:t>
      </w:r>
      <w:r w:rsidRPr="00657BE1">
        <w:rPr>
          <w:rFonts w:ascii="Arial" w:hAnsi="Arial" w:cs="Arial"/>
          <w:sz w:val="24"/>
          <w:szCs w:val="24"/>
        </w:rPr>
        <w:t xml:space="preserve"> </w:t>
      </w:r>
      <w:r w:rsidR="00ED66EA" w:rsidRPr="00657BE1">
        <w:rPr>
          <w:rFonts w:ascii="Arial" w:hAnsi="Arial" w:cs="Arial"/>
          <w:sz w:val="24"/>
          <w:szCs w:val="24"/>
        </w:rPr>
        <w:t>excluding</w:t>
      </w:r>
      <w:r w:rsidR="00316739">
        <w:rPr>
          <w:rFonts w:ascii="Arial" w:hAnsi="Arial" w:cs="Arial"/>
          <w:sz w:val="24"/>
          <w:szCs w:val="24"/>
        </w:rPr>
        <w:t xml:space="preserve"> all</w:t>
      </w:r>
      <w:r w:rsidR="00363166" w:rsidRPr="00657BE1">
        <w:rPr>
          <w:rFonts w:ascii="Arial" w:hAnsi="Arial" w:cs="Arial"/>
          <w:sz w:val="24"/>
          <w:szCs w:val="24"/>
        </w:rPr>
        <w:t xml:space="preserve"> three non-group</w:t>
      </w:r>
      <w:r w:rsidR="00ED66EA" w:rsidRPr="00657BE1">
        <w:rPr>
          <w:rFonts w:ascii="Arial" w:hAnsi="Arial" w:cs="Arial"/>
          <w:sz w:val="24"/>
          <w:szCs w:val="24"/>
        </w:rPr>
        <w:t>ed</w:t>
      </w:r>
      <w:r w:rsidR="00363166" w:rsidRPr="00657BE1">
        <w:rPr>
          <w:rFonts w:ascii="Arial" w:hAnsi="Arial" w:cs="Arial"/>
          <w:sz w:val="24"/>
          <w:szCs w:val="24"/>
        </w:rPr>
        <w:t xml:space="preserve"> councillors</w:t>
      </w:r>
      <w:r w:rsidR="00D42367">
        <w:rPr>
          <w:rFonts w:ascii="Arial" w:hAnsi="Arial" w:cs="Arial"/>
          <w:sz w:val="24"/>
          <w:szCs w:val="24"/>
        </w:rPr>
        <w:t xml:space="preserve"> and revised appendices 2 and 3 have been tabled.</w:t>
      </w:r>
    </w:p>
    <w:p w:rsidR="00363166" w:rsidRPr="00657BE1" w:rsidRDefault="00316739" w:rsidP="00682734">
      <w:pPr>
        <w:rPr>
          <w:rFonts w:ascii="Arial" w:hAnsi="Arial" w:cs="Arial"/>
          <w:sz w:val="24"/>
          <w:szCs w:val="24"/>
        </w:rPr>
      </w:pPr>
      <w:r>
        <w:rPr>
          <w:rFonts w:ascii="Arial" w:hAnsi="Arial" w:cs="Arial"/>
          <w:sz w:val="24"/>
          <w:szCs w:val="24"/>
        </w:rPr>
        <w:t>S</w:t>
      </w:r>
      <w:r w:rsidR="00363166" w:rsidRPr="00657BE1">
        <w:rPr>
          <w:rFonts w:ascii="Arial" w:hAnsi="Arial" w:cs="Arial"/>
          <w:sz w:val="24"/>
          <w:szCs w:val="24"/>
        </w:rPr>
        <w:t>eats</w:t>
      </w:r>
      <w:r>
        <w:rPr>
          <w:rFonts w:ascii="Arial" w:hAnsi="Arial" w:cs="Arial"/>
          <w:sz w:val="24"/>
          <w:szCs w:val="24"/>
        </w:rPr>
        <w:t xml:space="preserve"> are now allocated</w:t>
      </w:r>
      <w:r w:rsidR="00363166" w:rsidRPr="00657BE1">
        <w:rPr>
          <w:rFonts w:ascii="Arial" w:hAnsi="Arial" w:cs="Arial"/>
          <w:sz w:val="24"/>
          <w:szCs w:val="24"/>
        </w:rPr>
        <w:t xml:space="preserve"> </w:t>
      </w:r>
      <w:r w:rsidR="00D42367">
        <w:rPr>
          <w:rFonts w:ascii="Arial" w:hAnsi="Arial" w:cs="Arial"/>
          <w:sz w:val="24"/>
          <w:szCs w:val="24"/>
        </w:rPr>
        <w:t xml:space="preserve">to groups </w:t>
      </w:r>
      <w:r w:rsidR="00363166" w:rsidRPr="00657BE1">
        <w:rPr>
          <w:rFonts w:ascii="Arial" w:hAnsi="Arial" w:cs="Arial"/>
          <w:sz w:val="24"/>
          <w:szCs w:val="24"/>
        </w:rPr>
        <w:t>as</w:t>
      </w:r>
      <w:r w:rsidR="00ED66EA" w:rsidRPr="00657BE1">
        <w:rPr>
          <w:rFonts w:ascii="Arial" w:hAnsi="Arial" w:cs="Arial"/>
          <w:sz w:val="24"/>
          <w:szCs w:val="24"/>
        </w:rPr>
        <w:t xml:space="preserve"> follows</w:t>
      </w:r>
      <w:r w:rsidR="00363166" w:rsidRPr="00657BE1">
        <w:rPr>
          <w:rFonts w:ascii="Arial" w:hAnsi="Arial" w:cs="Arial"/>
          <w:sz w:val="24"/>
          <w:szCs w:val="24"/>
        </w:rPr>
        <w:t>:</w:t>
      </w:r>
    </w:p>
    <w:tbl>
      <w:tblPr>
        <w:tblStyle w:val="TableGrid"/>
        <w:tblW w:w="10206" w:type="dxa"/>
        <w:tblInd w:w="-459" w:type="dxa"/>
        <w:tblLayout w:type="fixed"/>
        <w:tblLook w:val="04A0" w:firstRow="1" w:lastRow="0" w:firstColumn="1" w:lastColumn="0" w:noHBand="0" w:noVBand="1"/>
      </w:tblPr>
      <w:tblGrid>
        <w:gridCol w:w="4307"/>
        <w:gridCol w:w="1179"/>
        <w:gridCol w:w="1180"/>
        <w:gridCol w:w="1180"/>
        <w:gridCol w:w="1180"/>
        <w:gridCol w:w="1180"/>
      </w:tblGrid>
      <w:tr w:rsidR="00384B2A" w:rsidTr="00384B2A">
        <w:tc>
          <w:tcPr>
            <w:tcW w:w="4307" w:type="dxa"/>
          </w:tcPr>
          <w:p w:rsidR="00384B2A" w:rsidRPr="00384B2A" w:rsidRDefault="00384B2A" w:rsidP="00D42367">
            <w:pPr>
              <w:rPr>
                <w:rFonts w:ascii="Arial" w:hAnsi="Arial" w:cs="Arial"/>
                <w:sz w:val="24"/>
                <w:szCs w:val="24"/>
              </w:rPr>
            </w:pPr>
          </w:p>
        </w:tc>
        <w:tc>
          <w:tcPr>
            <w:tcW w:w="1179" w:type="dxa"/>
          </w:tcPr>
          <w:p w:rsidR="00384B2A" w:rsidRPr="00384B2A" w:rsidRDefault="00384B2A" w:rsidP="00D42367">
            <w:pPr>
              <w:rPr>
                <w:rFonts w:ascii="Arial" w:hAnsi="Arial" w:cs="Arial"/>
                <w:b/>
                <w:sz w:val="24"/>
                <w:szCs w:val="24"/>
              </w:rPr>
            </w:pPr>
            <w:r w:rsidRPr="00384B2A">
              <w:rPr>
                <w:rFonts w:ascii="Arial" w:hAnsi="Arial" w:cs="Arial"/>
                <w:b/>
                <w:sz w:val="24"/>
                <w:szCs w:val="24"/>
              </w:rPr>
              <w:t>Labour</w:t>
            </w:r>
          </w:p>
        </w:tc>
        <w:tc>
          <w:tcPr>
            <w:tcW w:w="1180" w:type="dxa"/>
          </w:tcPr>
          <w:p w:rsidR="00384B2A" w:rsidRPr="00384B2A" w:rsidRDefault="00384B2A" w:rsidP="00384B2A">
            <w:pPr>
              <w:rPr>
                <w:rFonts w:ascii="Arial" w:hAnsi="Arial" w:cs="Arial"/>
                <w:b/>
                <w:sz w:val="24"/>
                <w:szCs w:val="24"/>
              </w:rPr>
            </w:pPr>
            <w:r w:rsidRPr="00384B2A">
              <w:rPr>
                <w:rFonts w:ascii="Arial" w:hAnsi="Arial" w:cs="Arial"/>
                <w:b/>
                <w:sz w:val="24"/>
                <w:szCs w:val="24"/>
              </w:rPr>
              <w:t>Lib Dem</w:t>
            </w:r>
          </w:p>
        </w:tc>
        <w:tc>
          <w:tcPr>
            <w:tcW w:w="1180" w:type="dxa"/>
          </w:tcPr>
          <w:p w:rsidR="00384B2A" w:rsidRPr="00384B2A" w:rsidRDefault="00384B2A" w:rsidP="00D42367">
            <w:pPr>
              <w:rPr>
                <w:rFonts w:ascii="Arial" w:hAnsi="Arial" w:cs="Arial"/>
                <w:b/>
                <w:sz w:val="24"/>
                <w:szCs w:val="24"/>
              </w:rPr>
            </w:pPr>
            <w:r w:rsidRPr="00384B2A">
              <w:rPr>
                <w:rFonts w:ascii="Arial" w:hAnsi="Arial" w:cs="Arial"/>
                <w:b/>
                <w:sz w:val="24"/>
                <w:szCs w:val="24"/>
              </w:rPr>
              <w:t>Green</w:t>
            </w:r>
          </w:p>
        </w:tc>
        <w:tc>
          <w:tcPr>
            <w:tcW w:w="1180" w:type="dxa"/>
          </w:tcPr>
          <w:p w:rsidR="00384B2A" w:rsidRPr="00384B2A" w:rsidRDefault="00384B2A" w:rsidP="00D42367">
            <w:pPr>
              <w:rPr>
                <w:rFonts w:ascii="Arial" w:hAnsi="Arial" w:cs="Arial"/>
                <w:b/>
                <w:sz w:val="24"/>
                <w:szCs w:val="24"/>
              </w:rPr>
            </w:pPr>
            <w:proofErr w:type="spellStart"/>
            <w:r w:rsidRPr="00384B2A">
              <w:rPr>
                <w:rFonts w:ascii="Arial" w:hAnsi="Arial" w:cs="Arial"/>
                <w:b/>
                <w:sz w:val="24"/>
                <w:szCs w:val="24"/>
              </w:rPr>
              <w:t>Ind</w:t>
            </w:r>
            <w:proofErr w:type="spellEnd"/>
          </w:p>
        </w:tc>
        <w:tc>
          <w:tcPr>
            <w:tcW w:w="1180" w:type="dxa"/>
          </w:tcPr>
          <w:p w:rsidR="00384B2A" w:rsidRPr="00384B2A" w:rsidRDefault="00384B2A" w:rsidP="00D42367">
            <w:pPr>
              <w:rPr>
                <w:rFonts w:ascii="Arial" w:hAnsi="Arial" w:cs="Arial"/>
                <w:b/>
                <w:sz w:val="24"/>
                <w:szCs w:val="24"/>
              </w:rPr>
            </w:pPr>
            <w:r w:rsidRPr="00384B2A">
              <w:rPr>
                <w:rFonts w:ascii="Arial" w:hAnsi="Arial" w:cs="Arial"/>
                <w:b/>
                <w:sz w:val="24"/>
                <w:szCs w:val="24"/>
              </w:rPr>
              <w:t>Total</w:t>
            </w:r>
          </w:p>
        </w:tc>
      </w:tr>
      <w:tr w:rsidR="00384B2A" w:rsidTr="00384B2A">
        <w:tc>
          <w:tcPr>
            <w:tcW w:w="4307" w:type="dxa"/>
          </w:tcPr>
          <w:p w:rsidR="00384B2A" w:rsidRDefault="00384B2A" w:rsidP="00D42367">
            <w:pPr>
              <w:rPr>
                <w:rFonts w:ascii="Arial" w:hAnsi="Arial" w:cs="Arial"/>
                <w:sz w:val="24"/>
                <w:szCs w:val="24"/>
              </w:rPr>
            </w:pPr>
            <w:r w:rsidRPr="00384B2A">
              <w:rPr>
                <w:rFonts w:ascii="Arial" w:hAnsi="Arial" w:cs="Arial"/>
                <w:sz w:val="24"/>
                <w:szCs w:val="24"/>
              </w:rPr>
              <w:t>Proportional entitlement</w:t>
            </w:r>
          </w:p>
          <w:p w:rsidR="00384B2A" w:rsidRPr="00384B2A" w:rsidRDefault="00384B2A" w:rsidP="00D42367">
            <w:pPr>
              <w:rPr>
                <w:rFonts w:ascii="Arial" w:hAnsi="Arial" w:cs="Arial"/>
                <w:sz w:val="24"/>
                <w:szCs w:val="24"/>
              </w:rPr>
            </w:pPr>
          </w:p>
        </w:tc>
        <w:tc>
          <w:tcPr>
            <w:tcW w:w="1179" w:type="dxa"/>
          </w:tcPr>
          <w:p w:rsidR="00384B2A" w:rsidRPr="00384B2A" w:rsidRDefault="00384B2A" w:rsidP="00D42367">
            <w:pPr>
              <w:rPr>
                <w:rFonts w:ascii="Arial" w:hAnsi="Arial" w:cs="Arial"/>
                <w:sz w:val="24"/>
                <w:szCs w:val="24"/>
              </w:rPr>
            </w:pPr>
            <w:r w:rsidRPr="00384B2A">
              <w:rPr>
                <w:rFonts w:ascii="Arial" w:hAnsi="Arial" w:cs="Arial"/>
                <w:sz w:val="24"/>
                <w:szCs w:val="24"/>
              </w:rPr>
              <w:t>54.4</w:t>
            </w:r>
          </w:p>
        </w:tc>
        <w:tc>
          <w:tcPr>
            <w:tcW w:w="1180" w:type="dxa"/>
          </w:tcPr>
          <w:p w:rsidR="00384B2A" w:rsidRPr="00384B2A" w:rsidRDefault="00384B2A" w:rsidP="00D42367">
            <w:pPr>
              <w:rPr>
                <w:rFonts w:ascii="Arial" w:hAnsi="Arial" w:cs="Arial"/>
                <w:sz w:val="24"/>
                <w:szCs w:val="24"/>
              </w:rPr>
            </w:pPr>
            <w:r w:rsidRPr="00384B2A">
              <w:rPr>
                <w:rFonts w:ascii="Arial" w:hAnsi="Arial" w:cs="Arial"/>
                <w:sz w:val="24"/>
                <w:szCs w:val="24"/>
              </w:rPr>
              <w:t>14.4</w:t>
            </w:r>
          </w:p>
        </w:tc>
        <w:tc>
          <w:tcPr>
            <w:tcW w:w="1180" w:type="dxa"/>
          </w:tcPr>
          <w:p w:rsidR="00384B2A" w:rsidRPr="00384B2A" w:rsidRDefault="00384B2A" w:rsidP="00D42367">
            <w:pPr>
              <w:rPr>
                <w:rFonts w:ascii="Arial" w:hAnsi="Arial" w:cs="Arial"/>
                <w:sz w:val="24"/>
                <w:szCs w:val="24"/>
              </w:rPr>
            </w:pPr>
            <w:r w:rsidRPr="00384B2A">
              <w:rPr>
                <w:rFonts w:ascii="Arial" w:hAnsi="Arial" w:cs="Arial"/>
                <w:sz w:val="24"/>
                <w:szCs w:val="24"/>
              </w:rPr>
              <w:t>3.2</w:t>
            </w:r>
          </w:p>
        </w:tc>
        <w:tc>
          <w:tcPr>
            <w:tcW w:w="1180" w:type="dxa"/>
          </w:tcPr>
          <w:p w:rsidR="00384B2A" w:rsidRPr="00384B2A" w:rsidRDefault="00384B2A" w:rsidP="00D42367">
            <w:pPr>
              <w:rPr>
                <w:rFonts w:ascii="Arial" w:hAnsi="Arial" w:cs="Arial"/>
                <w:sz w:val="24"/>
                <w:szCs w:val="24"/>
              </w:rPr>
            </w:pPr>
            <w:r>
              <w:rPr>
                <w:rFonts w:ascii="Arial" w:hAnsi="Arial" w:cs="Arial"/>
                <w:sz w:val="24"/>
                <w:szCs w:val="24"/>
              </w:rPr>
              <w:t>0</w:t>
            </w:r>
          </w:p>
        </w:tc>
        <w:tc>
          <w:tcPr>
            <w:tcW w:w="1180" w:type="dxa"/>
          </w:tcPr>
          <w:p w:rsidR="00384B2A" w:rsidRPr="00384B2A" w:rsidRDefault="00384B2A" w:rsidP="00D42367">
            <w:pPr>
              <w:rPr>
                <w:rFonts w:ascii="Arial" w:hAnsi="Arial" w:cs="Arial"/>
                <w:sz w:val="24"/>
                <w:szCs w:val="24"/>
              </w:rPr>
            </w:pPr>
            <w:r w:rsidRPr="00384B2A">
              <w:rPr>
                <w:rFonts w:ascii="Arial" w:hAnsi="Arial" w:cs="Arial"/>
                <w:sz w:val="24"/>
                <w:szCs w:val="24"/>
              </w:rPr>
              <w:t>72</w:t>
            </w:r>
          </w:p>
        </w:tc>
      </w:tr>
      <w:tr w:rsidR="00384B2A" w:rsidTr="00384B2A">
        <w:tc>
          <w:tcPr>
            <w:tcW w:w="4307" w:type="dxa"/>
          </w:tcPr>
          <w:p w:rsidR="00384B2A" w:rsidRPr="00384B2A" w:rsidRDefault="00384B2A" w:rsidP="00D42367">
            <w:pPr>
              <w:rPr>
                <w:rFonts w:ascii="Arial" w:hAnsi="Arial" w:cs="Arial"/>
                <w:sz w:val="24"/>
                <w:szCs w:val="24"/>
              </w:rPr>
            </w:pPr>
            <w:r w:rsidRPr="00384B2A">
              <w:rPr>
                <w:rFonts w:ascii="Arial" w:hAnsi="Arial" w:cs="Arial"/>
                <w:sz w:val="24"/>
                <w:szCs w:val="24"/>
              </w:rPr>
              <w:t>Rounded entitlement</w:t>
            </w:r>
          </w:p>
          <w:p w:rsidR="00384B2A" w:rsidRPr="00384B2A" w:rsidRDefault="00384B2A" w:rsidP="00D42367">
            <w:pPr>
              <w:rPr>
                <w:rFonts w:ascii="Arial" w:hAnsi="Arial" w:cs="Arial"/>
                <w:sz w:val="24"/>
                <w:szCs w:val="24"/>
              </w:rPr>
            </w:pPr>
            <w:r>
              <w:rPr>
                <w:rFonts w:ascii="Arial" w:hAnsi="Arial" w:cs="Arial"/>
                <w:sz w:val="24"/>
                <w:szCs w:val="24"/>
              </w:rPr>
              <w:t>(change from original Appendix 2)</w:t>
            </w:r>
          </w:p>
        </w:tc>
        <w:tc>
          <w:tcPr>
            <w:tcW w:w="1179" w:type="dxa"/>
          </w:tcPr>
          <w:p w:rsidR="00384B2A" w:rsidRDefault="00384B2A" w:rsidP="00D42367">
            <w:pPr>
              <w:rPr>
                <w:rFonts w:ascii="Arial" w:hAnsi="Arial" w:cs="Arial"/>
                <w:sz w:val="24"/>
                <w:szCs w:val="24"/>
              </w:rPr>
            </w:pPr>
            <w:r w:rsidRPr="00384B2A">
              <w:rPr>
                <w:rFonts w:ascii="Arial" w:hAnsi="Arial" w:cs="Arial"/>
                <w:sz w:val="24"/>
                <w:szCs w:val="24"/>
              </w:rPr>
              <w:t>54</w:t>
            </w:r>
          </w:p>
          <w:p w:rsidR="00384B2A" w:rsidRPr="00384B2A" w:rsidRDefault="00384B2A" w:rsidP="00D42367">
            <w:pPr>
              <w:rPr>
                <w:rFonts w:ascii="Arial" w:hAnsi="Arial" w:cs="Arial"/>
                <w:sz w:val="24"/>
                <w:szCs w:val="24"/>
              </w:rPr>
            </w:pPr>
            <w:r>
              <w:rPr>
                <w:rFonts w:ascii="Arial" w:hAnsi="Arial" w:cs="Arial"/>
                <w:sz w:val="24"/>
                <w:szCs w:val="24"/>
              </w:rPr>
              <w:t>(+1)</w:t>
            </w:r>
          </w:p>
        </w:tc>
        <w:tc>
          <w:tcPr>
            <w:tcW w:w="1180" w:type="dxa"/>
          </w:tcPr>
          <w:p w:rsidR="00384B2A" w:rsidRDefault="00384B2A" w:rsidP="00D42367">
            <w:pPr>
              <w:rPr>
                <w:rFonts w:ascii="Arial" w:hAnsi="Arial" w:cs="Arial"/>
                <w:sz w:val="24"/>
                <w:szCs w:val="24"/>
              </w:rPr>
            </w:pPr>
            <w:r w:rsidRPr="00384B2A">
              <w:rPr>
                <w:rFonts w:ascii="Arial" w:hAnsi="Arial" w:cs="Arial"/>
                <w:sz w:val="24"/>
                <w:szCs w:val="24"/>
              </w:rPr>
              <w:t>14</w:t>
            </w:r>
          </w:p>
          <w:p w:rsidR="00384B2A" w:rsidRPr="00384B2A" w:rsidRDefault="00384B2A" w:rsidP="00D42367">
            <w:pPr>
              <w:rPr>
                <w:rFonts w:ascii="Arial" w:hAnsi="Arial" w:cs="Arial"/>
                <w:sz w:val="24"/>
                <w:szCs w:val="24"/>
              </w:rPr>
            </w:pPr>
            <w:r>
              <w:rPr>
                <w:rFonts w:ascii="Arial" w:hAnsi="Arial" w:cs="Arial"/>
                <w:sz w:val="24"/>
                <w:szCs w:val="24"/>
              </w:rPr>
              <w:t>(0)</w:t>
            </w:r>
          </w:p>
        </w:tc>
        <w:tc>
          <w:tcPr>
            <w:tcW w:w="1180" w:type="dxa"/>
          </w:tcPr>
          <w:p w:rsidR="00384B2A" w:rsidRDefault="00384B2A" w:rsidP="00D42367">
            <w:pPr>
              <w:rPr>
                <w:rFonts w:ascii="Arial" w:hAnsi="Arial" w:cs="Arial"/>
                <w:sz w:val="24"/>
                <w:szCs w:val="24"/>
              </w:rPr>
            </w:pPr>
            <w:r w:rsidRPr="00384B2A">
              <w:rPr>
                <w:rFonts w:ascii="Arial" w:hAnsi="Arial" w:cs="Arial"/>
                <w:sz w:val="24"/>
                <w:szCs w:val="24"/>
              </w:rPr>
              <w:t>3</w:t>
            </w:r>
          </w:p>
          <w:p w:rsidR="00384B2A" w:rsidRPr="00384B2A" w:rsidRDefault="00384B2A" w:rsidP="00D42367">
            <w:pPr>
              <w:rPr>
                <w:rFonts w:ascii="Arial" w:hAnsi="Arial" w:cs="Arial"/>
                <w:sz w:val="24"/>
                <w:szCs w:val="24"/>
              </w:rPr>
            </w:pPr>
            <w:r>
              <w:rPr>
                <w:rFonts w:ascii="Arial" w:hAnsi="Arial" w:cs="Arial"/>
                <w:sz w:val="24"/>
                <w:szCs w:val="24"/>
              </w:rPr>
              <w:t>(0)</w:t>
            </w:r>
          </w:p>
        </w:tc>
        <w:tc>
          <w:tcPr>
            <w:tcW w:w="1180" w:type="dxa"/>
          </w:tcPr>
          <w:p w:rsidR="00384B2A" w:rsidRDefault="00384B2A" w:rsidP="00D42367">
            <w:pPr>
              <w:rPr>
                <w:rFonts w:ascii="Arial" w:hAnsi="Arial" w:cs="Arial"/>
                <w:sz w:val="24"/>
                <w:szCs w:val="24"/>
              </w:rPr>
            </w:pPr>
            <w:r w:rsidRPr="00384B2A">
              <w:rPr>
                <w:rFonts w:ascii="Arial" w:hAnsi="Arial" w:cs="Arial"/>
                <w:sz w:val="24"/>
                <w:szCs w:val="24"/>
              </w:rPr>
              <w:t>0</w:t>
            </w:r>
          </w:p>
          <w:p w:rsidR="00384B2A" w:rsidRPr="00384B2A" w:rsidRDefault="00384B2A" w:rsidP="00D42367">
            <w:pPr>
              <w:rPr>
                <w:rFonts w:ascii="Arial" w:hAnsi="Arial" w:cs="Arial"/>
                <w:sz w:val="24"/>
                <w:szCs w:val="24"/>
              </w:rPr>
            </w:pPr>
            <w:r>
              <w:rPr>
                <w:rFonts w:ascii="Arial" w:hAnsi="Arial" w:cs="Arial"/>
                <w:sz w:val="24"/>
                <w:szCs w:val="24"/>
              </w:rPr>
              <w:t>(-2)</w:t>
            </w:r>
          </w:p>
        </w:tc>
        <w:tc>
          <w:tcPr>
            <w:tcW w:w="1180" w:type="dxa"/>
          </w:tcPr>
          <w:p w:rsidR="00384B2A" w:rsidRDefault="00384B2A" w:rsidP="00D42367">
            <w:pPr>
              <w:rPr>
                <w:rFonts w:ascii="Arial" w:hAnsi="Arial" w:cs="Arial"/>
                <w:sz w:val="24"/>
                <w:szCs w:val="24"/>
              </w:rPr>
            </w:pPr>
            <w:r w:rsidRPr="00384B2A">
              <w:rPr>
                <w:rFonts w:ascii="Arial" w:hAnsi="Arial" w:cs="Arial"/>
                <w:sz w:val="24"/>
                <w:szCs w:val="24"/>
              </w:rPr>
              <w:t>71</w:t>
            </w:r>
          </w:p>
          <w:p w:rsidR="00384B2A" w:rsidRPr="00384B2A" w:rsidRDefault="00384B2A" w:rsidP="00D42367">
            <w:pPr>
              <w:rPr>
                <w:rFonts w:ascii="Arial" w:hAnsi="Arial" w:cs="Arial"/>
                <w:sz w:val="24"/>
                <w:szCs w:val="24"/>
              </w:rPr>
            </w:pPr>
            <w:r>
              <w:rPr>
                <w:rFonts w:ascii="Arial" w:hAnsi="Arial" w:cs="Arial"/>
                <w:sz w:val="24"/>
                <w:szCs w:val="24"/>
              </w:rPr>
              <w:t>(-1)</w:t>
            </w:r>
          </w:p>
        </w:tc>
      </w:tr>
    </w:tbl>
    <w:p w:rsidR="00ED66EA" w:rsidRPr="00657BE1" w:rsidRDefault="00ED66EA" w:rsidP="00D42367">
      <w:pPr>
        <w:spacing w:after="0"/>
        <w:rPr>
          <w:rFonts w:ascii="Arial" w:hAnsi="Arial" w:cs="Arial"/>
          <w:b/>
          <w:sz w:val="24"/>
          <w:szCs w:val="24"/>
        </w:rPr>
      </w:pPr>
      <w:r w:rsidRPr="00657BE1">
        <w:rPr>
          <w:rFonts w:ascii="Arial" w:hAnsi="Arial" w:cs="Arial"/>
          <w:b/>
          <w:sz w:val="24"/>
          <w:szCs w:val="24"/>
        </w:rPr>
        <w:tab/>
      </w:r>
    </w:p>
    <w:p w:rsidR="00657BE1" w:rsidRPr="00657BE1" w:rsidRDefault="00BE3964" w:rsidP="00682734">
      <w:pPr>
        <w:rPr>
          <w:rFonts w:ascii="Arial" w:hAnsi="Arial" w:cs="Arial"/>
          <w:b/>
          <w:sz w:val="24"/>
          <w:szCs w:val="24"/>
        </w:rPr>
      </w:pPr>
      <w:r w:rsidRPr="00657BE1">
        <w:rPr>
          <w:rFonts w:ascii="Arial" w:hAnsi="Arial" w:cs="Arial"/>
          <w:b/>
          <w:sz w:val="24"/>
          <w:szCs w:val="24"/>
        </w:rPr>
        <w:t>This gives a total</w:t>
      </w:r>
      <w:r w:rsidR="00ED66EA" w:rsidRPr="00657BE1">
        <w:rPr>
          <w:rFonts w:ascii="Arial" w:hAnsi="Arial" w:cs="Arial"/>
          <w:b/>
          <w:sz w:val="24"/>
          <w:szCs w:val="24"/>
        </w:rPr>
        <w:t xml:space="preserve"> entitlement</w:t>
      </w:r>
      <w:r w:rsidRPr="00657BE1">
        <w:rPr>
          <w:rFonts w:ascii="Arial" w:hAnsi="Arial" w:cs="Arial"/>
          <w:b/>
          <w:sz w:val="24"/>
          <w:szCs w:val="24"/>
        </w:rPr>
        <w:t xml:space="preserve"> of 71 seats to groups, </w:t>
      </w:r>
      <w:r w:rsidR="00316739">
        <w:rPr>
          <w:rFonts w:ascii="Arial" w:hAnsi="Arial" w:cs="Arial"/>
          <w:b/>
          <w:sz w:val="24"/>
          <w:szCs w:val="24"/>
        </w:rPr>
        <w:t>an under-allocation of 1 seat</w:t>
      </w:r>
      <w:r w:rsidRPr="00657BE1">
        <w:rPr>
          <w:rFonts w:ascii="Arial" w:hAnsi="Arial" w:cs="Arial"/>
          <w:b/>
          <w:sz w:val="24"/>
          <w:szCs w:val="24"/>
        </w:rPr>
        <w:t>.</w:t>
      </w:r>
    </w:p>
    <w:p w:rsidR="00976353" w:rsidRPr="00657BE1" w:rsidRDefault="00316739" w:rsidP="00976353">
      <w:pPr>
        <w:pStyle w:val="ListParagraph"/>
        <w:numPr>
          <w:ilvl w:val="0"/>
          <w:numId w:val="1"/>
        </w:numPr>
        <w:rPr>
          <w:rFonts w:ascii="Arial" w:hAnsi="Arial" w:cs="Arial"/>
          <w:sz w:val="24"/>
          <w:szCs w:val="24"/>
        </w:rPr>
      </w:pPr>
      <w:r>
        <w:rPr>
          <w:rFonts w:ascii="Arial" w:hAnsi="Arial" w:cs="Arial"/>
          <w:sz w:val="24"/>
          <w:szCs w:val="24"/>
        </w:rPr>
        <w:t>In the original Appendix 2 Labour Group was allocated 53 seats, so the allocation of 54 seats represents an increase of one seat</w:t>
      </w:r>
      <w:r w:rsidR="00BE3964" w:rsidRPr="00657BE1">
        <w:rPr>
          <w:rFonts w:ascii="Arial" w:hAnsi="Arial" w:cs="Arial"/>
          <w:sz w:val="24"/>
          <w:szCs w:val="24"/>
        </w:rPr>
        <w:t>:</w:t>
      </w:r>
      <w:r w:rsidR="00976353" w:rsidRPr="00657BE1">
        <w:rPr>
          <w:rFonts w:ascii="Arial" w:hAnsi="Arial" w:cs="Arial"/>
          <w:sz w:val="24"/>
          <w:szCs w:val="24"/>
        </w:rPr>
        <w:t xml:space="preserve"> </w:t>
      </w:r>
    </w:p>
    <w:p w:rsidR="00976353" w:rsidRPr="00657BE1" w:rsidRDefault="00604670" w:rsidP="00BE3964">
      <w:pPr>
        <w:ind w:left="720"/>
        <w:rPr>
          <w:rFonts w:ascii="Arial" w:hAnsi="Arial" w:cs="Arial"/>
          <w:sz w:val="24"/>
          <w:szCs w:val="24"/>
        </w:rPr>
      </w:pPr>
      <w:r>
        <w:rPr>
          <w:rFonts w:ascii="Arial" w:hAnsi="Arial" w:cs="Arial"/>
          <w:sz w:val="24"/>
          <w:szCs w:val="24"/>
        </w:rPr>
        <w:t xml:space="preserve">The </w:t>
      </w:r>
      <w:r w:rsidR="00316739">
        <w:rPr>
          <w:rFonts w:ascii="Arial" w:hAnsi="Arial" w:cs="Arial"/>
          <w:sz w:val="24"/>
          <w:szCs w:val="24"/>
        </w:rPr>
        <w:t xml:space="preserve">Labour </w:t>
      </w:r>
      <w:r>
        <w:rPr>
          <w:rFonts w:ascii="Arial" w:hAnsi="Arial" w:cs="Arial"/>
          <w:sz w:val="24"/>
          <w:szCs w:val="24"/>
        </w:rPr>
        <w:t xml:space="preserve">Group </w:t>
      </w:r>
      <w:r w:rsidR="00316739">
        <w:rPr>
          <w:rFonts w:ascii="Arial" w:hAnsi="Arial" w:cs="Arial"/>
          <w:sz w:val="24"/>
          <w:szCs w:val="24"/>
        </w:rPr>
        <w:t xml:space="preserve">gains a seat on </w:t>
      </w:r>
      <w:proofErr w:type="gramStart"/>
      <w:r>
        <w:rPr>
          <w:rFonts w:ascii="Arial" w:hAnsi="Arial" w:cs="Arial"/>
          <w:sz w:val="24"/>
          <w:szCs w:val="24"/>
        </w:rPr>
        <w:t>either the</w:t>
      </w:r>
      <w:r w:rsidR="00976353" w:rsidRPr="00316739">
        <w:rPr>
          <w:rFonts w:ascii="Arial" w:hAnsi="Arial" w:cs="Arial"/>
          <w:sz w:val="24"/>
          <w:szCs w:val="24"/>
        </w:rPr>
        <w:t xml:space="preserve"> </w:t>
      </w:r>
      <w:r w:rsidR="00976353" w:rsidRPr="00604670">
        <w:rPr>
          <w:rFonts w:ascii="Arial" w:hAnsi="Arial" w:cs="Arial"/>
          <w:b/>
          <w:sz w:val="24"/>
          <w:szCs w:val="24"/>
        </w:rPr>
        <w:t>Audit</w:t>
      </w:r>
      <w:r w:rsidR="00316739" w:rsidRPr="00604670">
        <w:rPr>
          <w:rFonts w:ascii="Arial" w:hAnsi="Arial" w:cs="Arial"/>
          <w:b/>
          <w:sz w:val="24"/>
          <w:szCs w:val="24"/>
        </w:rPr>
        <w:t xml:space="preserve"> and</w:t>
      </w:r>
      <w:proofErr w:type="gramEnd"/>
      <w:r w:rsidR="00316739" w:rsidRPr="00604670">
        <w:rPr>
          <w:rFonts w:ascii="Arial" w:hAnsi="Arial" w:cs="Arial"/>
          <w:b/>
          <w:sz w:val="24"/>
          <w:szCs w:val="24"/>
        </w:rPr>
        <w:t xml:space="preserve"> Governance</w:t>
      </w:r>
      <w:r w:rsidR="00651AA9" w:rsidRPr="00604670">
        <w:rPr>
          <w:rFonts w:ascii="Arial" w:hAnsi="Arial" w:cs="Arial"/>
          <w:b/>
          <w:sz w:val="24"/>
          <w:szCs w:val="24"/>
        </w:rPr>
        <w:t xml:space="preserve"> Committee</w:t>
      </w:r>
      <w:r w:rsidR="00316739" w:rsidRPr="00316739">
        <w:rPr>
          <w:rFonts w:ascii="Arial" w:hAnsi="Arial" w:cs="Arial"/>
          <w:sz w:val="24"/>
          <w:szCs w:val="24"/>
        </w:rPr>
        <w:t xml:space="preserve"> or </w:t>
      </w:r>
      <w:r>
        <w:rPr>
          <w:rFonts w:ascii="Arial" w:hAnsi="Arial" w:cs="Arial"/>
          <w:sz w:val="24"/>
          <w:szCs w:val="24"/>
        </w:rPr>
        <w:t xml:space="preserve">the </w:t>
      </w:r>
      <w:r w:rsidR="00316739" w:rsidRPr="00604670">
        <w:rPr>
          <w:rFonts w:ascii="Arial" w:hAnsi="Arial" w:cs="Arial"/>
          <w:b/>
          <w:sz w:val="24"/>
          <w:szCs w:val="24"/>
        </w:rPr>
        <w:t>Standards Committee</w:t>
      </w:r>
      <w:r w:rsidR="00976353" w:rsidRPr="00657BE1">
        <w:rPr>
          <w:rFonts w:ascii="Arial" w:hAnsi="Arial" w:cs="Arial"/>
          <w:sz w:val="24"/>
          <w:szCs w:val="24"/>
        </w:rPr>
        <w:t xml:space="preserve"> – to be </w:t>
      </w:r>
      <w:r w:rsidR="00ED66EA" w:rsidRPr="00657BE1">
        <w:rPr>
          <w:rFonts w:ascii="Arial" w:hAnsi="Arial" w:cs="Arial"/>
          <w:sz w:val="24"/>
          <w:szCs w:val="24"/>
        </w:rPr>
        <w:t xml:space="preserve">chosen by </w:t>
      </w:r>
      <w:r w:rsidR="00ED66EA" w:rsidRPr="00657BE1">
        <w:rPr>
          <w:rFonts w:ascii="Arial" w:hAnsi="Arial" w:cs="Arial"/>
          <w:b/>
          <w:sz w:val="24"/>
          <w:szCs w:val="24"/>
        </w:rPr>
        <w:t>the Labour Group</w:t>
      </w:r>
      <w:r w:rsidR="00BE3964" w:rsidRPr="00657BE1">
        <w:rPr>
          <w:rFonts w:ascii="Arial" w:hAnsi="Arial" w:cs="Arial"/>
          <w:sz w:val="24"/>
          <w:szCs w:val="24"/>
        </w:rPr>
        <w:t xml:space="preserve"> and </w:t>
      </w:r>
      <w:r w:rsidR="00ED66EA" w:rsidRPr="00657BE1">
        <w:rPr>
          <w:rFonts w:ascii="Arial" w:hAnsi="Arial" w:cs="Arial"/>
          <w:b/>
          <w:sz w:val="24"/>
          <w:szCs w:val="24"/>
        </w:rPr>
        <w:t>appointment made</w:t>
      </w:r>
    </w:p>
    <w:p w:rsidR="00363166" w:rsidRPr="00657BE1" w:rsidRDefault="00604670" w:rsidP="00604670">
      <w:pPr>
        <w:pStyle w:val="ListParagraph"/>
        <w:numPr>
          <w:ilvl w:val="0"/>
          <w:numId w:val="1"/>
        </w:numPr>
        <w:rPr>
          <w:rFonts w:ascii="Arial" w:hAnsi="Arial" w:cs="Arial"/>
          <w:sz w:val="24"/>
          <w:szCs w:val="24"/>
        </w:rPr>
      </w:pPr>
      <w:r>
        <w:rPr>
          <w:rFonts w:ascii="Arial" w:hAnsi="Arial" w:cs="Arial"/>
          <w:sz w:val="24"/>
          <w:szCs w:val="24"/>
        </w:rPr>
        <w:t>T</w:t>
      </w:r>
      <w:r w:rsidR="00976353" w:rsidRPr="00657BE1">
        <w:rPr>
          <w:rFonts w:ascii="Arial" w:hAnsi="Arial" w:cs="Arial"/>
          <w:sz w:val="24"/>
          <w:szCs w:val="24"/>
        </w:rPr>
        <w:t xml:space="preserve">here is </w:t>
      </w:r>
      <w:r>
        <w:rPr>
          <w:rFonts w:ascii="Arial" w:hAnsi="Arial" w:cs="Arial"/>
          <w:sz w:val="24"/>
          <w:szCs w:val="24"/>
        </w:rPr>
        <w:t xml:space="preserve">then </w:t>
      </w:r>
      <w:r w:rsidR="00976353" w:rsidRPr="00657BE1">
        <w:rPr>
          <w:rFonts w:ascii="Arial" w:hAnsi="Arial" w:cs="Arial"/>
          <w:sz w:val="24"/>
          <w:szCs w:val="24"/>
        </w:rPr>
        <w:t>a tie for the remaining</w:t>
      </w:r>
      <w:r w:rsidR="00651AA9">
        <w:rPr>
          <w:rFonts w:ascii="Arial" w:hAnsi="Arial" w:cs="Arial"/>
          <w:sz w:val="24"/>
          <w:szCs w:val="24"/>
        </w:rPr>
        <w:t xml:space="preserve"> unallocated</w:t>
      </w:r>
      <w:r w:rsidR="00976353" w:rsidRPr="00657BE1">
        <w:rPr>
          <w:rFonts w:ascii="Arial" w:hAnsi="Arial" w:cs="Arial"/>
          <w:sz w:val="24"/>
          <w:szCs w:val="24"/>
        </w:rPr>
        <w:t xml:space="preserve"> </w:t>
      </w:r>
      <w:r>
        <w:rPr>
          <w:rFonts w:ascii="Arial" w:hAnsi="Arial" w:cs="Arial"/>
          <w:sz w:val="24"/>
          <w:szCs w:val="24"/>
        </w:rPr>
        <w:t>seat</w:t>
      </w:r>
      <w:r w:rsidR="00384B2A">
        <w:rPr>
          <w:rFonts w:ascii="Arial" w:hAnsi="Arial" w:cs="Arial"/>
          <w:sz w:val="24"/>
          <w:szCs w:val="24"/>
        </w:rPr>
        <w:t xml:space="preserve"> to which no group has a clear proportional </w:t>
      </w:r>
      <w:r>
        <w:rPr>
          <w:rFonts w:ascii="Arial" w:hAnsi="Arial" w:cs="Arial"/>
          <w:sz w:val="24"/>
          <w:szCs w:val="24"/>
        </w:rPr>
        <w:t>entitlement.</w:t>
      </w:r>
      <w:r w:rsidR="00651AA9">
        <w:rPr>
          <w:rFonts w:ascii="Arial" w:hAnsi="Arial" w:cs="Arial"/>
          <w:sz w:val="24"/>
          <w:szCs w:val="24"/>
        </w:rPr>
        <w:t xml:space="preserve"> Section 15 of the Local Government and Housing Act 1989 requires that the number of seats on committees allocated to each political group bears the same proportion to the total number of seats on committees as is borne by the number of members of that group to the membership of the authority. This will not be possible in this case </w:t>
      </w:r>
      <w:r>
        <w:rPr>
          <w:rFonts w:ascii="Arial" w:hAnsi="Arial" w:cs="Arial"/>
          <w:sz w:val="24"/>
          <w:szCs w:val="24"/>
        </w:rPr>
        <w:t xml:space="preserve">as </w:t>
      </w:r>
      <w:r w:rsidRPr="00604670">
        <w:rPr>
          <w:rFonts w:ascii="Arial" w:hAnsi="Arial" w:cs="Arial"/>
          <w:sz w:val="24"/>
          <w:szCs w:val="24"/>
        </w:rPr>
        <w:t xml:space="preserve">Labour and the Lib Dem Groups </w:t>
      </w:r>
      <w:r>
        <w:rPr>
          <w:rFonts w:ascii="Arial" w:hAnsi="Arial" w:cs="Arial"/>
          <w:sz w:val="24"/>
          <w:szCs w:val="24"/>
        </w:rPr>
        <w:t xml:space="preserve">both </w:t>
      </w:r>
      <w:r w:rsidRPr="00604670">
        <w:rPr>
          <w:rFonts w:ascii="Arial" w:hAnsi="Arial" w:cs="Arial"/>
          <w:sz w:val="24"/>
          <w:szCs w:val="24"/>
        </w:rPr>
        <w:t>have a</w:t>
      </w:r>
      <w:r>
        <w:rPr>
          <w:rFonts w:ascii="Arial" w:hAnsi="Arial" w:cs="Arial"/>
          <w:sz w:val="24"/>
          <w:szCs w:val="24"/>
        </w:rPr>
        <w:t>n equal 0.4 minority entitlement to th</w:t>
      </w:r>
      <w:r w:rsidR="00384B2A">
        <w:rPr>
          <w:rFonts w:ascii="Arial" w:hAnsi="Arial" w:cs="Arial"/>
          <w:sz w:val="24"/>
          <w:szCs w:val="24"/>
        </w:rPr>
        <w:t>e</w:t>
      </w:r>
      <w:r>
        <w:rPr>
          <w:rFonts w:ascii="Arial" w:hAnsi="Arial" w:cs="Arial"/>
          <w:sz w:val="24"/>
          <w:szCs w:val="24"/>
        </w:rPr>
        <w:t xml:space="preserve"> final seat, while t</w:t>
      </w:r>
      <w:r w:rsidRPr="00604670">
        <w:rPr>
          <w:rFonts w:ascii="Arial" w:hAnsi="Arial" w:cs="Arial"/>
          <w:sz w:val="24"/>
          <w:szCs w:val="24"/>
        </w:rPr>
        <w:t>he Green G</w:t>
      </w:r>
      <w:r>
        <w:rPr>
          <w:rFonts w:ascii="Arial" w:hAnsi="Arial" w:cs="Arial"/>
          <w:sz w:val="24"/>
          <w:szCs w:val="24"/>
        </w:rPr>
        <w:t xml:space="preserve">roup </w:t>
      </w:r>
      <w:r w:rsidR="00D42367">
        <w:rPr>
          <w:rFonts w:ascii="Arial" w:hAnsi="Arial" w:cs="Arial"/>
          <w:sz w:val="24"/>
          <w:szCs w:val="24"/>
        </w:rPr>
        <w:t xml:space="preserve">only </w:t>
      </w:r>
      <w:r>
        <w:rPr>
          <w:rFonts w:ascii="Arial" w:hAnsi="Arial" w:cs="Arial"/>
          <w:sz w:val="24"/>
          <w:szCs w:val="24"/>
        </w:rPr>
        <w:t>has a 0.2 entitlement</w:t>
      </w:r>
      <w:r w:rsidRPr="00604670">
        <w:rPr>
          <w:rFonts w:ascii="Arial" w:hAnsi="Arial" w:cs="Arial"/>
          <w:sz w:val="24"/>
          <w:szCs w:val="24"/>
        </w:rPr>
        <w:t>.</w:t>
      </w:r>
      <w:r>
        <w:rPr>
          <w:rFonts w:ascii="Arial" w:hAnsi="Arial" w:cs="Arial"/>
          <w:sz w:val="24"/>
          <w:szCs w:val="24"/>
        </w:rPr>
        <w:t xml:space="preserve"> For all seats to be allocated </w:t>
      </w:r>
      <w:r w:rsidR="00D42367">
        <w:rPr>
          <w:rFonts w:ascii="Arial" w:hAnsi="Arial" w:cs="Arial"/>
          <w:sz w:val="24"/>
          <w:szCs w:val="24"/>
        </w:rPr>
        <w:t xml:space="preserve">either </w:t>
      </w:r>
      <w:r>
        <w:rPr>
          <w:rFonts w:ascii="Arial" w:hAnsi="Arial" w:cs="Arial"/>
          <w:sz w:val="24"/>
          <w:szCs w:val="24"/>
        </w:rPr>
        <w:t xml:space="preserve">the Labour Group or Lib Dem Group must be allocated their overall proportional entitlement of seats plus one.   </w:t>
      </w:r>
    </w:p>
    <w:p w:rsidR="00BE3964" w:rsidRPr="00657BE1" w:rsidRDefault="00604670" w:rsidP="00657BE1">
      <w:pPr>
        <w:ind w:left="720"/>
        <w:rPr>
          <w:rFonts w:ascii="Arial" w:hAnsi="Arial" w:cs="Arial"/>
          <w:b/>
          <w:sz w:val="24"/>
          <w:szCs w:val="24"/>
        </w:rPr>
      </w:pPr>
      <w:r>
        <w:rPr>
          <w:rFonts w:ascii="Arial" w:hAnsi="Arial" w:cs="Arial"/>
          <w:sz w:val="24"/>
          <w:szCs w:val="24"/>
        </w:rPr>
        <w:t>T</w:t>
      </w:r>
      <w:r w:rsidR="00ED66EA" w:rsidRPr="00657BE1">
        <w:rPr>
          <w:rFonts w:ascii="Arial" w:hAnsi="Arial" w:cs="Arial"/>
          <w:sz w:val="24"/>
          <w:szCs w:val="24"/>
        </w:rPr>
        <w:t xml:space="preserve">he </w:t>
      </w:r>
      <w:r>
        <w:rPr>
          <w:rFonts w:ascii="Arial" w:hAnsi="Arial" w:cs="Arial"/>
          <w:sz w:val="24"/>
          <w:szCs w:val="24"/>
        </w:rPr>
        <w:t>unallocated</w:t>
      </w:r>
      <w:r w:rsidR="00ED66EA" w:rsidRPr="00657BE1">
        <w:rPr>
          <w:rFonts w:ascii="Arial" w:hAnsi="Arial" w:cs="Arial"/>
          <w:sz w:val="24"/>
          <w:szCs w:val="24"/>
        </w:rPr>
        <w:t xml:space="preserve"> seat on</w:t>
      </w:r>
      <w:r w:rsidR="00976353" w:rsidRPr="00657BE1">
        <w:rPr>
          <w:rFonts w:ascii="Arial" w:hAnsi="Arial" w:cs="Arial"/>
          <w:sz w:val="24"/>
          <w:szCs w:val="24"/>
        </w:rPr>
        <w:t xml:space="preserve"> </w:t>
      </w:r>
      <w:r w:rsidR="00ED66EA" w:rsidRPr="00657BE1">
        <w:rPr>
          <w:rFonts w:ascii="Arial" w:hAnsi="Arial" w:cs="Arial"/>
          <w:b/>
          <w:sz w:val="24"/>
          <w:szCs w:val="24"/>
        </w:rPr>
        <w:t xml:space="preserve">the remaining committee </w:t>
      </w:r>
      <w:r w:rsidR="00976353" w:rsidRPr="00657BE1">
        <w:rPr>
          <w:rFonts w:ascii="Arial" w:hAnsi="Arial" w:cs="Arial"/>
          <w:sz w:val="24"/>
          <w:szCs w:val="24"/>
        </w:rPr>
        <w:t xml:space="preserve">– to be </w:t>
      </w:r>
      <w:r w:rsidR="00976353" w:rsidRPr="00657BE1">
        <w:rPr>
          <w:rFonts w:ascii="Arial" w:hAnsi="Arial" w:cs="Arial"/>
          <w:b/>
          <w:sz w:val="24"/>
          <w:szCs w:val="24"/>
        </w:rPr>
        <w:t>allocated</w:t>
      </w:r>
      <w:r w:rsidR="00ED66EA" w:rsidRPr="00657BE1">
        <w:rPr>
          <w:rFonts w:ascii="Arial" w:hAnsi="Arial" w:cs="Arial"/>
          <w:b/>
          <w:sz w:val="24"/>
          <w:szCs w:val="24"/>
        </w:rPr>
        <w:t xml:space="preserve"> by Council</w:t>
      </w:r>
      <w:r w:rsidR="00976353" w:rsidRPr="00657BE1">
        <w:rPr>
          <w:rFonts w:ascii="Arial" w:hAnsi="Arial" w:cs="Arial"/>
          <w:sz w:val="24"/>
          <w:szCs w:val="24"/>
        </w:rPr>
        <w:t xml:space="preserve"> to either </w:t>
      </w:r>
      <w:r w:rsidR="00D42367">
        <w:rPr>
          <w:rFonts w:ascii="Arial" w:hAnsi="Arial" w:cs="Arial"/>
          <w:sz w:val="24"/>
          <w:szCs w:val="24"/>
        </w:rPr>
        <w:t xml:space="preserve">the </w:t>
      </w:r>
      <w:r w:rsidR="00976353" w:rsidRPr="00657BE1">
        <w:rPr>
          <w:rFonts w:ascii="Arial" w:hAnsi="Arial" w:cs="Arial"/>
          <w:sz w:val="24"/>
          <w:szCs w:val="24"/>
        </w:rPr>
        <w:t xml:space="preserve">Labour </w:t>
      </w:r>
      <w:r w:rsidR="00D42367">
        <w:rPr>
          <w:rFonts w:ascii="Arial" w:hAnsi="Arial" w:cs="Arial"/>
          <w:sz w:val="24"/>
          <w:szCs w:val="24"/>
        </w:rPr>
        <w:t xml:space="preserve">Group </w:t>
      </w:r>
      <w:r w:rsidR="00976353" w:rsidRPr="00657BE1">
        <w:rPr>
          <w:rFonts w:ascii="Arial" w:hAnsi="Arial" w:cs="Arial"/>
          <w:sz w:val="24"/>
          <w:szCs w:val="24"/>
        </w:rPr>
        <w:t>or</w:t>
      </w:r>
      <w:r w:rsidR="00D42367">
        <w:rPr>
          <w:rFonts w:ascii="Arial" w:hAnsi="Arial" w:cs="Arial"/>
          <w:sz w:val="24"/>
          <w:szCs w:val="24"/>
        </w:rPr>
        <w:t xml:space="preserve"> the </w:t>
      </w:r>
      <w:r w:rsidR="00976353" w:rsidRPr="00657BE1">
        <w:rPr>
          <w:rFonts w:ascii="Arial" w:hAnsi="Arial" w:cs="Arial"/>
          <w:sz w:val="24"/>
          <w:szCs w:val="24"/>
        </w:rPr>
        <w:t>Lib</w:t>
      </w:r>
      <w:r w:rsidR="00BE3964" w:rsidRPr="00657BE1">
        <w:rPr>
          <w:rFonts w:ascii="Arial" w:hAnsi="Arial" w:cs="Arial"/>
          <w:sz w:val="24"/>
          <w:szCs w:val="24"/>
        </w:rPr>
        <w:t xml:space="preserve"> </w:t>
      </w:r>
      <w:r w:rsidR="00D42367">
        <w:rPr>
          <w:rFonts w:ascii="Arial" w:hAnsi="Arial" w:cs="Arial"/>
          <w:sz w:val="24"/>
          <w:szCs w:val="24"/>
        </w:rPr>
        <w:t>Dem Group</w:t>
      </w:r>
      <w:r w:rsidR="00976353" w:rsidRPr="00657BE1">
        <w:rPr>
          <w:rFonts w:ascii="Arial" w:hAnsi="Arial" w:cs="Arial"/>
          <w:sz w:val="24"/>
          <w:szCs w:val="24"/>
        </w:rPr>
        <w:t xml:space="preserve"> and </w:t>
      </w:r>
      <w:r w:rsidR="00657BE1" w:rsidRPr="00657BE1">
        <w:rPr>
          <w:rFonts w:ascii="Arial" w:hAnsi="Arial" w:cs="Arial"/>
          <w:b/>
          <w:sz w:val="24"/>
          <w:szCs w:val="24"/>
        </w:rPr>
        <w:t>appointment made</w:t>
      </w:r>
    </w:p>
    <w:p w:rsidR="00671EB6" w:rsidRPr="00657BE1" w:rsidRDefault="00657BE1" w:rsidP="00657BE1">
      <w:pPr>
        <w:rPr>
          <w:rFonts w:ascii="Arial" w:hAnsi="Arial" w:cs="Arial"/>
          <w:b/>
          <w:sz w:val="24"/>
          <w:szCs w:val="24"/>
          <w:u w:val="single"/>
        </w:rPr>
      </w:pPr>
      <w:r w:rsidRPr="00657BE1">
        <w:rPr>
          <w:rFonts w:ascii="Arial" w:hAnsi="Arial" w:cs="Arial"/>
          <w:b/>
          <w:sz w:val="24"/>
          <w:szCs w:val="24"/>
          <w:u w:val="single"/>
        </w:rPr>
        <w:lastRenderedPageBreak/>
        <w:t>Recommendation</w:t>
      </w:r>
    </w:p>
    <w:p w:rsidR="00976353" w:rsidRPr="00657BE1" w:rsidRDefault="00657BE1" w:rsidP="00671EB6">
      <w:pPr>
        <w:ind w:left="360"/>
        <w:rPr>
          <w:rFonts w:ascii="Arial" w:hAnsi="Arial" w:cs="Arial"/>
          <w:sz w:val="24"/>
          <w:szCs w:val="24"/>
        </w:rPr>
      </w:pPr>
      <w:r w:rsidRPr="00657BE1">
        <w:rPr>
          <w:rFonts w:ascii="Arial" w:hAnsi="Arial" w:cs="Arial"/>
          <w:sz w:val="24"/>
          <w:szCs w:val="24"/>
        </w:rPr>
        <w:t>T</w:t>
      </w:r>
      <w:r w:rsidR="00976353" w:rsidRPr="00657BE1">
        <w:rPr>
          <w:rFonts w:ascii="Arial" w:hAnsi="Arial" w:cs="Arial"/>
          <w:sz w:val="24"/>
          <w:szCs w:val="24"/>
        </w:rPr>
        <w:t>hat Council:</w:t>
      </w:r>
    </w:p>
    <w:p w:rsidR="00976353" w:rsidRPr="00657BE1" w:rsidRDefault="00ED66EA" w:rsidP="00657BE1">
      <w:pPr>
        <w:pStyle w:val="ListParagraph"/>
        <w:numPr>
          <w:ilvl w:val="0"/>
          <w:numId w:val="3"/>
        </w:numPr>
        <w:rPr>
          <w:rFonts w:ascii="Arial" w:hAnsi="Arial" w:cs="Arial"/>
          <w:sz w:val="24"/>
          <w:szCs w:val="24"/>
        </w:rPr>
      </w:pPr>
      <w:r w:rsidRPr="00657BE1">
        <w:rPr>
          <w:rFonts w:ascii="Arial" w:hAnsi="Arial" w:cs="Arial"/>
          <w:sz w:val="24"/>
          <w:szCs w:val="24"/>
        </w:rPr>
        <w:t>note</w:t>
      </w:r>
      <w:r w:rsidR="00657BE1" w:rsidRPr="00657BE1">
        <w:rPr>
          <w:rFonts w:ascii="Arial" w:hAnsi="Arial" w:cs="Arial"/>
          <w:sz w:val="24"/>
          <w:szCs w:val="24"/>
        </w:rPr>
        <w:t>s</w:t>
      </w:r>
      <w:r w:rsidRPr="00657BE1">
        <w:rPr>
          <w:rFonts w:ascii="Arial" w:hAnsi="Arial" w:cs="Arial"/>
          <w:sz w:val="24"/>
          <w:szCs w:val="24"/>
        </w:rPr>
        <w:t xml:space="preserve"> the decision of the Labour Group to choose</w:t>
      </w:r>
      <w:r w:rsidR="00976353" w:rsidRPr="00657BE1">
        <w:rPr>
          <w:rFonts w:ascii="Arial" w:hAnsi="Arial" w:cs="Arial"/>
          <w:sz w:val="24"/>
          <w:szCs w:val="24"/>
        </w:rPr>
        <w:t xml:space="preserve"> </w:t>
      </w:r>
      <w:r w:rsidRPr="00657BE1">
        <w:rPr>
          <w:rFonts w:ascii="Arial" w:hAnsi="Arial" w:cs="Arial"/>
          <w:sz w:val="24"/>
          <w:szCs w:val="24"/>
        </w:rPr>
        <w:t>an</w:t>
      </w:r>
      <w:r w:rsidR="00976353" w:rsidRPr="00657BE1">
        <w:rPr>
          <w:rFonts w:ascii="Arial" w:hAnsi="Arial" w:cs="Arial"/>
          <w:sz w:val="24"/>
          <w:szCs w:val="24"/>
        </w:rPr>
        <w:t xml:space="preserve"> </w:t>
      </w:r>
      <w:r w:rsidR="00BE3964" w:rsidRPr="00657BE1">
        <w:rPr>
          <w:rFonts w:ascii="Arial" w:hAnsi="Arial" w:cs="Arial"/>
          <w:sz w:val="24"/>
          <w:szCs w:val="24"/>
        </w:rPr>
        <w:t>unallocated</w:t>
      </w:r>
      <w:r w:rsidR="00604670">
        <w:rPr>
          <w:rFonts w:ascii="Arial" w:hAnsi="Arial" w:cs="Arial"/>
          <w:sz w:val="24"/>
          <w:szCs w:val="24"/>
        </w:rPr>
        <w:t xml:space="preserve"> seat</w:t>
      </w:r>
      <w:r w:rsidR="00976353" w:rsidRPr="00657BE1">
        <w:rPr>
          <w:rFonts w:ascii="Arial" w:hAnsi="Arial" w:cs="Arial"/>
          <w:sz w:val="24"/>
          <w:szCs w:val="24"/>
        </w:rPr>
        <w:t xml:space="preserve"> (on </w:t>
      </w:r>
      <w:r w:rsidR="00BE3964" w:rsidRPr="00657BE1">
        <w:rPr>
          <w:rFonts w:ascii="Arial" w:hAnsi="Arial" w:cs="Arial"/>
          <w:sz w:val="24"/>
          <w:szCs w:val="24"/>
        </w:rPr>
        <w:t xml:space="preserve">either </w:t>
      </w:r>
      <w:r w:rsidR="00604670">
        <w:rPr>
          <w:rFonts w:ascii="Arial" w:hAnsi="Arial" w:cs="Arial"/>
          <w:sz w:val="24"/>
          <w:szCs w:val="24"/>
        </w:rPr>
        <w:t>the</w:t>
      </w:r>
      <w:r w:rsidR="00BE3964" w:rsidRPr="00657BE1">
        <w:rPr>
          <w:rFonts w:ascii="Arial" w:hAnsi="Arial" w:cs="Arial"/>
          <w:sz w:val="24"/>
          <w:szCs w:val="24"/>
        </w:rPr>
        <w:t xml:space="preserve"> </w:t>
      </w:r>
      <w:r w:rsidR="00976353" w:rsidRPr="00657BE1">
        <w:rPr>
          <w:rFonts w:ascii="Arial" w:hAnsi="Arial" w:cs="Arial"/>
          <w:sz w:val="24"/>
          <w:szCs w:val="24"/>
        </w:rPr>
        <w:t>Audit</w:t>
      </w:r>
      <w:r w:rsidR="00604670">
        <w:rPr>
          <w:rFonts w:ascii="Arial" w:hAnsi="Arial" w:cs="Arial"/>
          <w:sz w:val="24"/>
          <w:szCs w:val="24"/>
        </w:rPr>
        <w:t xml:space="preserve"> and Governance Committee or the Standards Committee</w:t>
      </w:r>
      <w:r w:rsidR="00976353" w:rsidRPr="00657BE1">
        <w:rPr>
          <w:rFonts w:ascii="Arial" w:hAnsi="Arial" w:cs="Arial"/>
          <w:sz w:val="24"/>
          <w:szCs w:val="24"/>
        </w:rPr>
        <w:t>)</w:t>
      </w:r>
      <w:r w:rsidR="00671EB6" w:rsidRPr="00657BE1">
        <w:rPr>
          <w:rFonts w:ascii="Arial" w:hAnsi="Arial" w:cs="Arial"/>
          <w:sz w:val="24"/>
          <w:szCs w:val="24"/>
        </w:rPr>
        <w:t>; and</w:t>
      </w:r>
    </w:p>
    <w:p w:rsidR="00657BE1" w:rsidRPr="00657BE1" w:rsidRDefault="00657BE1" w:rsidP="00657BE1">
      <w:pPr>
        <w:pStyle w:val="ListParagraph"/>
        <w:rPr>
          <w:rFonts w:ascii="Arial" w:hAnsi="Arial" w:cs="Arial"/>
          <w:sz w:val="24"/>
          <w:szCs w:val="24"/>
        </w:rPr>
      </w:pPr>
    </w:p>
    <w:p w:rsidR="00657BE1" w:rsidRPr="00657BE1" w:rsidRDefault="00671EB6" w:rsidP="00657BE1">
      <w:pPr>
        <w:pStyle w:val="ListParagraph"/>
        <w:numPr>
          <w:ilvl w:val="0"/>
          <w:numId w:val="3"/>
        </w:numPr>
        <w:rPr>
          <w:rFonts w:ascii="Arial" w:hAnsi="Arial" w:cs="Arial"/>
          <w:sz w:val="24"/>
          <w:szCs w:val="24"/>
        </w:rPr>
      </w:pPr>
      <w:r w:rsidRPr="00657BE1">
        <w:rPr>
          <w:rFonts w:ascii="Arial" w:hAnsi="Arial" w:cs="Arial"/>
          <w:sz w:val="24"/>
          <w:szCs w:val="24"/>
        </w:rPr>
        <w:t>allocate</w:t>
      </w:r>
      <w:r w:rsidR="00657BE1" w:rsidRPr="00657BE1">
        <w:rPr>
          <w:rFonts w:ascii="Arial" w:hAnsi="Arial" w:cs="Arial"/>
          <w:sz w:val="24"/>
          <w:szCs w:val="24"/>
        </w:rPr>
        <w:t>s</w:t>
      </w:r>
      <w:r w:rsidRPr="00657BE1">
        <w:rPr>
          <w:rFonts w:ascii="Arial" w:hAnsi="Arial" w:cs="Arial"/>
          <w:sz w:val="24"/>
          <w:szCs w:val="24"/>
        </w:rPr>
        <w:t xml:space="preserve"> </w:t>
      </w:r>
      <w:r w:rsidR="00976353" w:rsidRPr="00657BE1">
        <w:rPr>
          <w:rFonts w:ascii="Arial" w:hAnsi="Arial" w:cs="Arial"/>
          <w:sz w:val="24"/>
          <w:szCs w:val="24"/>
        </w:rPr>
        <w:t xml:space="preserve">the </w:t>
      </w:r>
      <w:r w:rsidR="00A4762A" w:rsidRPr="00657BE1">
        <w:rPr>
          <w:rFonts w:ascii="Arial" w:hAnsi="Arial" w:cs="Arial"/>
          <w:sz w:val="24"/>
          <w:szCs w:val="24"/>
        </w:rPr>
        <w:t xml:space="preserve">unallocated </w:t>
      </w:r>
      <w:r w:rsidR="00976353" w:rsidRPr="00657BE1">
        <w:rPr>
          <w:rFonts w:ascii="Arial" w:hAnsi="Arial" w:cs="Arial"/>
          <w:sz w:val="24"/>
          <w:szCs w:val="24"/>
        </w:rPr>
        <w:t>seat</w:t>
      </w:r>
      <w:r w:rsidR="00A4762A" w:rsidRPr="00657BE1">
        <w:rPr>
          <w:rFonts w:ascii="Arial" w:hAnsi="Arial" w:cs="Arial"/>
          <w:sz w:val="24"/>
          <w:szCs w:val="24"/>
        </w:rPr>
        <w:t xml:space="preserve"> on the other committee</w:t>
      </w:r>
      <w:r w:rsidR="00976353" w:rsidRPr="00657BE1">
        <w:rPr>
          <w:rFonts w:ascii="Arial" w:hAnsi="Arial" w:cs="Arial"/>
          <w:sz w:val="24"/>
          <w:szCs w:val="24"/>
        </w:rPr>
        <w:t xml:space="preserve"> to either </w:t>
      </w:r>
      <w:r w:rsidR="00657BE1" w:rsidRPr="00657BE1">
        <w:rPr>
          <w:rFonts w:ascii="Arial" w:hAnsi="Arial" w:cs="Arial"/>
          <w:sz w:val="24"/>
          <w:szCs w:val="24"/>
        </w:rPr>
        <w:t xml:space="preserve">the </w:t>
      </w:r>
      <w:r w:rsidR="00976353" w:rsidRPr="00657BE1">
        <w:rPr>
          <w:rFonts w:ascii="Arial" w:hAnsi="Arial" w:cs="Arial"/>
          <w:sz w:val="24"/>
          <w:szCs w:val="24"/>
        </w:rPr>
        <w:t xml:space="preserve">Labour </w:t>
      </w:r>
      <w:r w:rsidR="0032767B">
        <w:rPr>
          <w:rFonts w:ascii="Arial" w:hAnsi="Arial" w:cs="Arial"/>
          <w:sz w:val="24"/>
          <w:szCs w:val="24"/>
        </w:rPr>
        <w:t xml:space="preserve">Group </w:t>
      </w:r>
      <w:r w:rsidR="00976353" w:rsidRPr="00657BE1">
        <w:rPr>
          <w:rFonts w:ascii="Arial" w:hAnsi="Arial" w:cs="Arial"/>
          <w:sz w:val="24"/>
          <w:szCs w:val="24"/>
        </w:rPr>
        <w:t>or the Libe</w:t>
      </w:r>
      <w:r w:rsidRPr="00657BE1">
        <w:rPr>
          <w:rFonts w:ascii="Arial" w:hAnsi="Arial" w:cs="Arial"/>
          <w:sz w:val="24"/>
          <w:szCs w:val="24"/>
        </w:rPr>
        <w:t>ral Democrat Group</w:t>
      </w:r>
      <w:r w:rsidR="00A4762A" w:rsidRPr="00657BE1">
        <w:rPr>
          <w:rFonts w:ascii="Arial" w:hAnsi="Arial" w:cs="Arial"/>
          <w:sz w:val="24"/>
          <w:szCs w:val="24"/>
        </w:rPr>
        <w:t xml:space="preserve"> in accordance with the agreement of Group Leaders</w:t>
      </w:r>
      <w:r w:rsidRPr="00657BE1">
        <w:rPr>
          <w:rFonts w:ascii="Arial" w:hAnsi="Arial" w:cs="Arial"/>
          <w:sz w:val="24"/>
          <w:szCs w:val="24"/>
        </w:rPr>
        <w:t xml:space="preserve">; </w:t>
      </w:r>
      <w:r w:rsidRPr="00657BE1">
        <w:rPr>
          <w:rFonts w:ascii="Arial" w:hAnsi="Arial" w:cs="Arial"/>
          <w:b/>
          <w:sz w:val="24"/>
          <w:szCs w:val="24"/>
          <w:u w:val="single"/>
        </w:rPr>
        <w:t>or</w:t>
      </w:r>
      <w:r w:rsidR="00A4762A" w:rsidRPr="00657BE1">
        <w:rPr>
          <w:rFonts w:ascii="Arial" w:hAnsi="Arial" w:cs="Arial"/>
          <w:sz w:val="24"/>
          <w:szCs w:val="24"/>
        </w:rPr>
        <w:t xml:space="preserve"> </w:t>
      </w:r>
      <w:r w:rsidR="00976353" w:rsidRPr="00657BE1">
        <w:rPr>
          <w:rFonts w:ascii="Arial" w:hAnsi="Arial" w:cs="Arial"/>
          <w:b/>
          <w:sz w:val="24"/>
          <w:szCs w:val="24"/>
        </w:rPr>
        <w:t>if there is no agreement</w:t>
      </w:r>
      <w:r w:rsidR="00A4762A" w:rsidRPr="00657BE1">
        <w:rPr>
          <w:rFonts w:ascii="Arial" w:hAnsi="Arial" w:cs="Arial"/>
          <w:b/>
          <w:sz w:val="24"/>
          <w:szCs w:val="24"/>
        </w:rPr>
        <w:t xml:space="preserve"> between the Group L</w:t>
      </w:r>
      <w:r w:rsidR="00976353" w:rsidRPr="00657BE1">
        <w:rPr>
          <w:rFonts w:ascii="Arial" w:hAnsi="Arial" w:cs="Arial"/>
          <w:b/>
          <w:sz w:val="24"/>
          <w:szCs w:val="24"/>
        </w:rPr>
        <w:t>eaders</w:t>
      </w:r>
      <w:r w:rsidR="00976353" w:rsidRPr="00657BE1">
        <w:rPr>
          <w:rFonts w:ascii="Arial" w:hAnsi="Arial" w:cs="Arial"/>
          <w:sz w:val="24"/>
          <w:szCs w:val="24"/>
        </w:rPr>
        <w:t>, allocate</w:t>
      </w:r>
      <w:r w:rsidR="00384B2A">
        <w:rPr>
          <w:rFonts w:ascii="Arial" w:hAnsi="Arial" w:cs="Arial"/>
          <w:sz w:val="24"/>
          <w:szCs w:val="24"/>
        </w:rPr>
        <w:t>s</w:t>
      </w:r>
      <w:r w:rsidR="00976353" w:rsidRPr="00657BE1">
        <w:rPr>
          <w:rFonts w:ascii="Arial" w:hAnsi="Arial" w:cs="Arial"/>
          <w:sz w:val="24"/>
          <w:szCs w:val="24"/>
        </w:rPr>
        <w:t xml:space="preserve"> the remain</w:t>
      </w:r>
      <w:r w:rsidR="00A4762A" w:rsidRPr="00657BE1">
        <w:rPr>
          <w:rFonts w:ascii="Arial" w:hAnsi="Arial" w:cs="Arial"/>
          <w:sz w:val="24"/>
          <w:szCs w:val="24"/>
        </w:rPr>
        <w:t>ing seat by the drawing of lots; and</w:t>
      </w:r>
    </w:p>
    <w:p w:rsidR="00657BE1" w:rsidRPr="00657BE1" w:rsidRDefault="00657BE1" w:rsidP="00657BE1">
      <w:pPr>
        <w:pStyle w:val="ListParagraph"/>
        <w:rPr>
          <w:rFonts w:ascii="Arial" w:hAnsi="Arial" w:cs="Arial"/>
          <w:sz w:val="24"/>
          <w:szCs w:val="24"/>
        </w:rPr>
      </w:pPr>
    </w:p>
    <w:p w:rsidR="00671EB6" w:rsidRPr="00657BE1" w:rsidRDefault="00671EB6" w:rsidP="00657BE1">
      <w:pPr>
        <w:pStyle w:val="ListParagraph"/>
        <w:numPr>
          <w:ilvl w:val="0"/>
          <w:numId w:val="3"/>
        </w:numPr>
        <w:rPr>
          <w:rFonts w:ascii="Arial" w:hAnsi="Arial" w:cs="Arial"/>
          <w:sz w:val="24"/>
          <w:szCs w:val="24"/>
        </w:rPr>
      </w:pPr>
      <w:r w:rsidRPr="00657BE1">
        <w:rPr>
          <w:rFonts w:ascii="Arial" w:hAnsi="Arial" w:cs="Arial"/>
          <w:sz w:val="24"/>
          <w:szCs w:val="24"/>
        </w:rPr>
        <w:t>delegate</w:t>
      </w:r>
      <w:r w:rsidR="00604670">
        <w:rPr>
          <w:rFonts w:ascii="Arial" w:hAnsi="Arial" w:cs="Arial"/>
          <w:sz w:val="24"/>
          <w:szCs w:val="24"/>
        </w:rPr>
        <w:t>s authority to</w:t>
      </w:r>
      <w:r w:rsidRPr="00657BE1">
        <w:rPr>
          <w:rFonts w:ascii="Arial" w:hAnsi="Arial" w:cs="Arial"/>
          <w:sz w:val="24"/>
          <w:szCs w:val="24"/>
        </w:rPr>
        <w:t xml:space="preserve"> the Committee and Member Services Manager to fill vacant appointments to these </w:t>
      </w:r>
      <w:r w:rsidR="00ED66EA" w:rsidRPr="00657BE1">
        <w:rPr>
          <w:rFonts w:ascii="Arial" w:hAnsi="Arial" w:cs="Arial"/>
          <w:sz w:val="24"/>
          <w:szCs w:val="24"/>
        </w:rPr>
        <w:t>two and any other vacant</w:t>
      </w:r>
      <w:r w:rsidRPr="00657BE1">
        <w:rPr>
          <w:rFonts w:ascii="Arial" w:hAnsi="Arial" w:cs="Arial"/>
          <w:sz w:val="24"/>
          <w:szCs w:val="24"/>
        </w:rPr>
        <w:t xml:space="preserve"> seats in accordance with the instructions of the relevant Group Leaders</w:t>
      </w:r>
      <w:bookmarkStart w:id="0" w:name="_GoBack"/>
      <w:bookmarkEnd w:id="0"/>
    </w:p>
    <w:sectPr w:rsidR="00671EB6" w:rsidRPr="00657BE1" w:rsidSect="00D4236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67" w:rsidRDefault="00D42367" w:rsidP="00D42367">
      <w:pPr>
        <w:spacing w:after="0" w:line="240" w:lineRule="auto"/>
      </w:pPr>
      <w:r>
        <w:separator/>
      </w:r>
    </w:p>
  </w:endnote>
  <w:endnote w:type="continuationSeparator" w:id="0">
    <w:p w:rsidR="00D42367" w:rsidRDefault="00D42367" w:rsidP="00D42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67" w:rsidRDefault="00D42367" w:rsidP="00D42367">
      <w:pPr>
        <w:spacing w:after="0" w:line="240" w:lineRule="auto"/>
      </w:pPr>
      <w:r>
        <w:separator/>
      </w:r>
    </w:p>
  </w:footnote>
  <w:footnote w:type="continuationSeparator" w:id="0">
    <w:p w:rsidR="00D42367" w:rsidRDefault="00D42367" w:rsidP="00D42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67" w:rsidRPr="00D42367" w:rsidRDefault="00D42367" w:rsidP="00D42367">
    <w:pPr>
      <w:pStyle w:val="Header"/>
    </w:pPr>
    <w:r w:rsidRPr="00657BE1">
      <w:rPr>
        <w:rFonts w:ascii="Arial" w:hAnsi="Arial" w:cs="Arial"/>
        <w:b/>
        <w:sz w:val="24"/>
        <w:szCs w:val="24"/>
      </w:rPr>
      <w:t>Agenda Item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FA7"/>
    <w:multiLevelType w:val="hybridMultilevel"/>
    <w:tmpl w:val="CC5ED15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174C5B"/>
    <w:multiLevelType w:val="hybridMultilevel"/>
    <w:tmpl w:val="1D2A5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0396212"/>
    <w:multiLevelType w:val="hybridMultilevel"/>
    <w:tmpl w:val="10DE89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1A601E"/>
    <w:multiLevelType w:val="hybridMultilevel"/>
    <w:tmpl w:val="4A2E4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34"/>
    <w:rsid w:val="00316739"/>
    <w:rsid w:val="0032767B"/>
    <w:rsid w:val="00363166"/>
    <w:rsid w:val="00384B2A"/>
    <w:rsid w:val="00604670"/>
    <w:rsid w:val="00651AA9"/>
    <w:rsid w:val="00657BE1"/>
    <w:rsid w:val="00671EB6"/>
    <w:rsid w:val="00682734"/>
    <w:rsid w:val="00685749"/>
    <w:rsid w:val="00976353"/>
    <w:rsid w:val="00A4762A"/>
    <w:rsid w:val="00BE3964"/>
    <w:rsid w:val="00D42367"/>
    <w:rsid w:val="00ED6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353"/>
    <w:pPr>
      <w:ind w:left="720"/>
      <w:contextualSpacing/>
    </w:pPr>
  </w:style>
  <w:style w:type="paragraph" w:styleId="Header">
    <w:name w:val="header"/>
    <w:basedOn w:val="Normal"/>
    <w:link w:val="HeaderChar"/>
    <w:uiPriority w:val="99"/>
    <w:unhideWhenUsed/>
    <w:rsid w:val="00D42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367"/>
  </w:style>
  <w:style w:type="paragraph" w:styleId="Footer">
    <w:name w:val="footer"/>
    <w:basedOn w:val="Normal"/>
    <w:link w:val="FooterChar"/>
    <w:uiPriority w:val="99"/>
    <w:unhideWhenUsed/>
    <w:rsid w:val="00D42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367"/>
  </w:style>
  <w:style w:type="table" w:styleId="TableGrid">
    <w:name w:val="Table Grid"/>
    <w:basedOn w:val="TableNormal"/>
    <w:uiPriority w:val="39"/>
    <w:rsid w:val="0038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353"/>
    <w:pPr>
      <w:ind w:left="720"/>
      <w:contextualSpacing/>
    </w:pPr>
  </w:style>
  <w:style w:type="paragraph" w:styleId="Header">
    <w:name w:val="header"/>
    <w:basedOn w:val="Normal"/>
    <w:link w:val="HeaderChar"/>
    <w:uiPriority w:val="99"/>
    <w:unhideWhenUsed/>
    <w:rsid w:val="00D42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367"/>
  </w:style>
  <w:style w:type="paragraph" w:styleId="Footer">
    <w:name w:val="footer"/>
    <w:basedOn w:val="Normal"/>
    <w:link w:val="FooterChar"/>
    <w:uiPriority w:val="99"/>
    <w:unhideWhenUsed/>
    <w:rsid w:val="00D42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367"/>
  </w:style>
  <w:style w:type="table" w:styleId="TableGrid">
    <w:name w:val="Table Grid"/>
    <w:basedOn w:val="TableNormal"/>
    <w:uiPriority w:val="39"/>
    <w:rsid w:val="0038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9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F8F0E3BD</Template>
  <TotalTime>108</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abrown2</cp:lastModifiedBy>
  <cp:revision>4</cp:revision>
  <dcterms:created xsi:type="dcterms:W3CDTF">2019-05-13T10:44:00Z</dcterms:created>
  <dcterms:modified xsi:type="dcterms:W3CDTF">2019-05-13T13:13:00Z</dcterms:modified>
</cp:coreProperties>
</file>